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{inv_num}</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{anchorname}</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{anchorRC}</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{anchor_add}</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{investorname}</w:t>
      </w:r>
      <w:r w:rsidR="00BB3BAC" w:rsidRPr="00BB3BAC">
        <w:rPr>
          <w:rFonts w:ascii="Candara" w:eastAsia="Candara" w:hAnsi="Candara" w:cs="Candara"/>
        </w:rPr>
        <w:t xml:space="preserve">,whose address is at </w:t>
      </w:r>
      <w:r w:rsidR="00BB3BAC" w:rsidRPr="00BB3BAC">
        <w:rPr>
          <w:rFonts w:ascii="Candara" w:eastAsia="Candara" w:hAnsi="Candara" w:cs="Candara"/>
          <w:b/>
        </w:rPr>
        <w:t>{investor_add}</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{inv_num}</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{inv_num}</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{dis_amt}</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{anchorname}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{netvalue}</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{duedate}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{investor_sign}</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{investor_sign}</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{today}</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